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42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65"/>
        <w:gridCol w:w="4960"/>
      </w:tblGrid>
      <w:tr>
        <w:trPr/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Základní škola   Nejdek, náměstí Karla IV., příspěvková organizace</w:t>
            </w:r>
          </w:p>
        </w:tc>
      </w:tr>
      <w:tr>
        <w:trPr>
          <w:cantSplit w:val="true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jc w:val="center"/>
              <w:rPr>
                <w:b/>
                <w:b/>
                <w:caps/>
                <w:color w:val="0000FF"/>
                <w:szCs w:val="24"/>
              </w:rPr>
            </w:pPr>
            <w:bookmarkStart w:id="0" w:name="_GoBack"/>
            <w:bookmarkEnd w:id="0"/>
            <w:r>
              <w:rPr>
                <w:b/>
                <w:caps/>
                <w:color w:val="0000FF"/>
              </w:rPr>
              <w:t>Směrnice o ochraně oznamovatelů (Whistleblowing)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Č.j.:               Spisový / skartační znak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b/>
                <w:b/>
                <w:color w:val="0000FF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                                 </w:t>
            </w:r>
            <w:r>
              <w:rPr>
                <w:b/>
                <w:color w:val="0000FF"/>
                <w:szCs w:val="24"/>
              </w:rPr>
              <w:t>A.1.          V5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Vypracoval: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efinitionTerm"/>
              <w:widowControl w:val="false"/>
              <w:spacing w:lineRule="atLeast" w:line="240" w:before="12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Mgr. Klaudie Mašterová, ředitelka školy 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Vydal: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Mgr. Klaudie Mašterová,  ředitelka školy 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Pedagogická rada projednala dne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29. 8. 2023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Provozní porada projednala dne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 xml:space="preserve">29. 8. 2023 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Směrnice nabývá platnosti ode dne: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tLeast" w:line="240" w:before="120" w:after="0"/>
              <w:ind w:left="720" w:hanging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1. 8. 2023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240" w:before="120" w:after="0"/>
              <w:rPr>
                <w:szCs w:val="24"/>
              </w:rPr>
            </w:pPr>
            <w:r>
              <w:rPr>
                <w:szCs w:val="24"/>
              </w:rPr>
              <w:t>Směrnice nabývá účinnosti ode dne: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spacing w:lineRule="atLeast" w:line="240" w:before="120" w:after="0"/>
              <w:ind w:left="720" w:hanging="0"/>
              <w:contextualSpacing/>
              <w:rPr>
                <w:szCs w:val="24"/>
              </w:rPr>
            </w:pPr>
            <w:r>
              <w:rPr>
                <w:szCs w:val="24"/>
              </w:rPr>
              <w:t>1. 8. 2023</w:t>
            </w:r>
          </w:p>
        </w:tc>
      </w:tr>
    </w:tbl>
    <w:p>
      <w:pPr>
        <w:pStyle w:val="Tlotextu"/>
        <w:rPr/>
      </w:pPr>
      <w:r>
        <w:rPr/>
      </w:r>
    </w:p>
    <w:p>
      <w:pPr>
        <w:pStyle w:val="NormalWeb"/>
        <w:spacing w:beforeAutospacing="0" w:before="0" w:afterAutospacing="0" w:after="0"/>
        <w:rPr>
          <w:b/>
          <w:b/>
          <w:bCs/>
          <w:szCs w:val="26"/>
        </w:rPr>
      </w:pPr>
      <w:r>
        <w:rPr>
          <w:b/>
          <w:bCs/>
          <w:szCs w:val="26"/>
        </w:rPr>
        <w:t>Obecná ustanovení</w:t>
      </w:r>
    </w:p>
    <w:p>
      <w:pPr>
        <w:pStyle w:val="NormalWeb"/>
        <w:spacing w:beforeAutospacing="0" w:before="0" w:afterAutospacing="0" w:after="0"/>
        <w:rPr/>
      </w:pPr>
      <w:r>
        <w:rPr/>
        <w:t>V souladu se Směrnicí EU č.2019/1937 ze dne 23.10.2019 o ochraně osob, které oznamují porušení práva Unie (dále jen Směrnice EU), s platností ode dne 17.12.2021, a v souladu se zákonem č. 171/2023 Sb., o ochraně oznamovatelů zavádí škola jako povinný subjekt v souladu s článkem č. 8 Směrnice EU způsoby a pravidla pro oznamování protiprávního jednání.</w:t>
      </w:r>
    </w:p>
    <w:p>
      <w:pPr>
        <w:pStyle w:val="Prosttext1"/>
        <w:tabs>
          <w:tab w:val="clear" w:pos="708"/>
          <w:tab w:val="left" w:pos="720" w:leader="none"/>
        </w:tabs>
        <w:jc w:val="both"/>
        <w:rPr>
          <w:rFonts w:ascii="Times New Roman" w:hAnsi="Times New Roman"/>
          <w:color w:val="auto"/>
          <w:sz w:val="24"/>
          <w:szCs w:val="26"/>
        </w:rPr>
      </w:pPr>
      <w:r>
        <w:rPr>
          <w:rFonts w:ascii="Times New Roman" w:hAnsi="Times New Roman"/>
          <w:color w:val="auto"/>
          <w:sz w:val="24"/>
          <w:szCs w:val="26"/>
        </w:rPr>
      </w:r>
    </w:p>
    <w:p>
      <w:pPr>
        <w:pStyle w:val="NoSpacing"/>
        <w:rPr>
          <w:sz w:val="24"/>
          <w:szCs w:val="26"/>
        </w:rPr>
      </w:pPr>
      <w:r>
        <w:rPr>
          <w:b/>
          <w:bCs/>
          <w:sz w:val="24"/>
          <w:szCs w:val="26"/>
        </w:rPr>
        <w:t xml:space="preserve">1. Působnost a zásady směrnice </w:t>
      </w:r>
    </w:p>
    <w:p>
      <w:pPr>
        <w:pStyle w:val="ListParagraph"/>
        <w:numPr>
          <w:ilvl w:val="0"/>
          <w:numId w:val="2"/>
        </w:numPr>
        <w:rPr>
          <w:szCs w:val="26"/>
        </w:rPr>
      </w:pPr>
      <w:r>
        <w:rPr/>
        <w:t>Tato směrnice upravuje pravidla ochrany oznamovatelů protiprávního jednání.</w:t>
      </w:r>
      <w:r>
        <w:rPr>
          <w:szCs w:val="26"/>
        </w:rPr>
        <w:t xml:space="preserve"> Vytváří </w:t>
      </w:r>
      <w:r>
        <w:rPr/>
        <w:t>vnitřní oznamovací systém jako bezpečný postup pro přijímání a šetření oznámení.</w:t>
      </w:r>
    </w:p>
    <w:p>
      <w:pPr>
        <w:pStyle w:val="NoSpacing"/>
        <w:numPr>
          <w:ilvl w:val="0"/>
          <w:numId w:val="2"/>
        </w:numPr>
        <w:rPr>
          <w:sz w:val="24"/>
          <w:szCs w:val="26"/>
        </w:rPr>
      </w:pPr>
      <w:r>
        <w:rPr>
          <w:sz w:val="24"/>
          <w:szCs w:val="26"/>
        </w:rPr>
        <w:t>Tato směrnice je vydána písemně, vzniká na dobu neurčitou, je závazná pro všechny zaměstnance organizace, ti s ní byli seznámeni prokazatelným způsobem. Směrnice je trvale přístupná všem zaměstnancům způsobem na pracovišti obvyklým, jiným osobám v době provozu školy na podatelně školy a také způsobem umožňující dálkový přístup.</w:t>
      </w:r>
    </w:p>
    <w:p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Jejím smyslem je nastavit a zdokumentovat postupy pro příjímání, správu a šetření oznámení, včetně postupů pro ochranu osobních údajů oznamovatelů, zavést bezpečné nástroje pro přijímání oznámení, zvýšit povědomí zaměstnanců a dalších osob o možnosti zabránit protiprávnímu jednání.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2. Základní ustanovení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Každý oznamovatel, který se v souvislosti s prací nebo jinou obdobnou činností dozví o porušování práv Unie a o protiprávním jednání jiných osob, je oprávněn podat oznámení písemně (elektronicky i v listinné podobě), nebo ústně – osobně (v přiměřené lhůtě) i telefonicky. </w:t>
      </w:r>
    </w:p>
    <w:p>
      <w:pPr>
        <w:pStyle w:val="ListParagraph"/>
        <w:numPr>
          <w:ilvl w:val="0"/>
          <w:numId w:val="3"/>
        </w:numPr>
        <w:rPr/>
      </w:pPr>
      <w:r>
        <w:rPr/>
        <w:t>Prací nebo jinou obdobnou činností se pro účely této směrnice rozumí zaměstnání, samostatná výdělečná činnost, dobrovolnická činnost, odborná praxe, stáž, nebo výkon práv a povinností vyplývajících ze smlouvy, jejímž předmětem je poskytování dodávek, služeb, stavebních prací nebo jiného obdobného plnění, také ucházení se o práci nebo jinou obdobnou činnost.</w:t>
      </w:r>
    </w:p>
    <w:p>
      <w:pPr>
        <w:pStyle w:val="ListParagraph"/>
        <w:numPr>
          <w:ilvl w:val="0"/>
          <w:numId w:val="3"/>
        </w:numPr>
        <w:ind w:left="714" w:hanging="357"/>
        <w:rPr/>
      </w:pPr>
      <w:r>
        <w:rPr/>
        <w:t xml:space="preserve">Totožnost oznamovatele je chráněným údajem, nelze jej sdělit bez výslovného souhlasu oznamovatele třetím osobám, s výjimkou dožádání ze strany orgánů činných v trestním řízení či dalších výjimek stanovených zákonem. </w:t>
      </w:r>
    </w:p>
    <w:p>
      <w:pPr>
        <w:pStyle w:val="ListParagraph"/>
        <w:numPr>
          <w:ilvl w:val="0"/>
          <w:numId w:val="3"/>
        </w:numPr>
        <w:ind w:left="714" w:hanging="357"/>
        <w:rPr/>
      </w:pPr>
      <w:r>
        <w:rPr/>
        <w:t>Oznamovatelé jsou zákonem chráněni před odvetným opatřením.</w:t>
      </w:r>
    </w:p>
    <w:p>
      <w:pPr>
        <w:pStyle w:val="ListParagraph"/>
        <w:numPr>
          <w:ilvl w:val="0"/>
          <w:numId w:val="3"/>
        </w:numPr>
        <w:ind w:left="714" w:hanging="357"/>
        <w:rPr/>
      </w:pPr>
      <w:r>
        <w:rPr>
          <w:szCs w:val="24"/>
        </w:rPr>
        <w:t>Odvetným opatřením se rozumí jednání, které bylo vyvoláno oznámením a které oznamovateli může způsobit újmu.</w:t>
      </w:r>
    </w:p>
    <w:p>
      <w:pPr>
        <w:pStyle w:val="ListParagraph"/>
        <w:numPr>
          <w:ilvl w:val="0"/>
          <w:numId w:val="3"/>
        </w:numPr>
        <w:ind w:left="714" w:hanging="357"/>
        <w:rPr/>
      </w:pPr>
      <w:r>
        <w:rPr/>
        <w:t xml:space="preserve">Odvetným opatřením je zejména 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rozvázání pracovního poměru nebo neprodloužení pracovního poměru na dobu určitou, 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zrušení právního vztahu založeného dohodou o provedení práce nebo dohodou o pracovní činnosti, 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odvolání z místa vedoucího zaměstnance, </w:t>
      </w:r>
    </w:p>
    <w:p>
      <w:pPr>
        <w:pStyle w:val="ListParagraph"/>
        <w:numPr>
          <w:ilvl w:val="0"/>
          <w:numId w:val="7"/>
        </w:numPr>
        <w:rPr/>
      </w:pPr>
      <w:r>
        <w:rPr/>
        <w:t>uložení kárného opatření nebo kázeňského trestu,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snížení mzdy, platu nebo odměny nebo nepřiznání osobního příplatku, 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přeložení nebo převedení na jinou práci, 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pracovní posudek, neumožnění odborného rozvoje, 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změna pracovní doby, </w:t>
      </w:r>
    </w:p>
    <w:p>
      <w:pPr>
        <w:pStyle w:val="ListParagraph"/>
        <w:numPr>
          <w:ilvl w:val="0"/>
          <w:numId w:val="7"/>
        </w:numPr>
        <w:rPr/>
      </w:pPr>
      <w:r>
        <w:rPr/>
        <w:t>vyžadování lékařského posudku nebo pracovnělékařské prohlídky,</w:t>
      </w:r>
    </w:p>
    <w:p>
      <w:pPr>
        <w:pStyle w:val="ListParagraph"/>
        <w:numPr>
          <w:ilvl w:val="0"/>
          <w:numId w:val="7"/>
        </w:numPr>
        <w:rPr/>
      </w:pPr>
      <w:r>
        <w:rPr/>
        <w:t>výpověď nebo odstoupení od smlouvy</w:t>
      </w:r>
    </w:p>
    <w:p>
      <w:pPr>
        <w:pStyle w:val="ListParagraph"/>
        <w:numPr>
          <w:ilvl w:val="0"/>
          <w:numId w:val="7"/>
        </w:numPr>
        <w:rPr/>
      </w:pPr>
      <w:r>
        <w:rPr/>
        <w:t>zásah do práva na ochranu osobnosti.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spacing w:before="0" w:after="120"/>
        <w:contextualSpacing/>
        <w:jc w:val="both"/>
        <w:rPr>
          <w:szCs w:val="24"/>
        </w:rPr>
      </w:pPr>
      <w:r>
        <w:rPr>
          <w:szCs w:val="24"/>
        </w:rPr>
        <w:t xml:space="preserve">Odvetnému opatření nesmí být vystaven oznamovatel ani </w:t>
      </w:r>
    </w:p>
    <w:p>
      <w:pPr>
        <w:pStyle w:val="ListParagraph"/>
        <w:numPr>
          <w:ilvl w:val="0"/>
          <w:numId w:val="7"/>
        </w:numPr>
        <w:overflowPunct w:val="false"/>
        <w:jc w:val="both"/>
        <w:textAlignment w:val="auto"/>
        <w:rPr>
          <w:szCs w:val="24"/>
        </w:rPr>
      </w:pPr>
      <w:r>
        <w:rPr>
          <w:szCs w:val="24"/>
        </w:rPr>
        <w:t>osoba, která poskytla pomoc při zjišťování informací, které jsou obsahem oznámení, podání oznámení nebo posouzení jeho důvodnosti,</w:t>
      </w:r>
    </w:p>
    <w:p>
      <w:pPr>
        <w:pStyle w:val="ListParagraph"/>
        <w:numPr>
          <w:ilvl w:val="0"/>
          <w:numId w:val="7"/>
        </w:numPr>
        <w:overflowPunct w:val="false"/>
        <w:jc w:val="both"/>
        <w:textAlignment w:val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>osoba, která je ve vztahu k oznamovateli osobou blízkou,</w:t>
      </w:r>
    </w:p>
    <w:p>
      <w:pPr>
        <w:pStyle w:val="ListParagraph"/>
        <w:numPr>
          <w:ilvl w:val="0"/>
          <w:numId w:val="7"/>
        </w:numPr>
        <w:overflowPunct w:val="false"/>
        <w:jc w:val="both"/>
        <w:textAlignment w:val="auto"/>
        <w:rPr>
          <w:szCs w:val="24"/>
        </w:rPr>
      </w:pPr>
      <w:r>
        <w:rPr>
          <w:szCs w:val="24"/>
        </w:rPr>
        <w:t>osoba, která je zaměstnancem nebo kolegou oznamovatele,</w:t>
      </w:r>
    </w:p>
    <w:p>
      <w:pPr>
        <w:pStyle w:val="ListParagraph"/>
        <w:numPr>
          <w:ilvl w:val="0"/>
          <w:numId w:val="7"/>
        </w:numPr>
        <w:rPr>
          <w:rFonts w:eastAsia="Calibri"/>
          <w:szCs w:val="24"/>
        </w:rPr>
      </w:pPr>
      <w:r>
        <w:rPr>
          <w:rFonts w:eastAsia="Calibri"/>
          <w:szCs w:val="24"/>
        </w:rPr>
        <w:t>osoba, pro kterou oznamovatel vykonává práci nebo jinou obdobnou činnost,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shd w:val="clear" w:color="auto" w:fill="FDFDFD"/>
        <w:ind w:left="714" w:hanging="357"/>
        <w:jc w:val="both"/>
        <w:rPr/>
      </w:pPr>
      <w:r>
        <w:rPr/>
        <w:t>Protiprávním jednáním se rozumí jednání, které má znaky trestného činu nebo přestupku, dále jednání porušující právní předpis upravující určité vymezené oblasti (např. daně z příjmů právnických osob, zadávání veřejných zakázek, hospodářská soutěž, zpracování osobních údajů, životní prostředí, ochrany spotřebitele a další zákonem taxativně vymezené oblasti.</w:t>
      </w:r>
    </w:p>
    <w:p>
      <w:pPr>
        <w:pStyle w:val="ListParagraph"/>
        <w:shd w:val="clear" w:color="auto" w:fill="FDFDFD"/>
        <w:ind w:left="714" w:hanging="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hd w:val="clear" w:color="auto" w:fill="FDFDFD"/>
        <w:ind w:left="714" w:hanging="357"/>
        <w:jc w:val="both"/>
        <w:rPr/>
      </w:pPr>
      <w:r>
        <w:rPr/>
        <w:t>Příslušnou osobou v organizaci je zletilá, plně svéprávná a bezúhonná osoba zodpovědná za přijímání a posuzování oznámení. Totožnost příslušné osoby, její e-mailová adresa a telefonní číslo jsou zveřejněny způsobem umožňujícím dálkový přístup - na webových stránkách školy. Spolu s tím jsou na úřední desce zveřejněny také informace o implementaci problematiky ochrany oznamovatelů (viz příloha č. 1).</w:t>
      </w:r>
    </w:p>
    <w:p>
      <w:pPr>
        <w:pStyle w:val="Normal"/>
        <w:shd w:val="clear" w:color="auto" w:fill="FDFDFD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hd w:val="clear" w:color="auto" w:fill="FDFDFD"/>
        <w:ind w:left="714" w:hanging="357"/>
        <w:jc w:val="both"/>
        <w:rPr/>
      </w:pPr>
      <w:r>
        <w:rPr/>
        <w:t>Smyslem směrnice je mimo jiné zajistit informační bezpečnost, zajištění anonymního dialogu s oznamovatelem a jeho ochrana.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3. Způsob podání oznámení</w:t>
      </w:r>
    </w:p>
    <w:p>
      <w:pPr>
        <w:pStyle w:val="Normal"/>
        <w:rPr/>
      </w:pPr>
      <w:r>
        <w:rPr/>
        <w:t xml:space="preserve">Oznamovatel může podat oznámení: </w:t>
      </w:r>
    </w:p>
    <w:p>
      <w:pPr>
        <w:pStyle w:val="ListParagraph"/>
        <w:numPr>
          <w:ilvl w:val="0"/>
          <w:numId w:val="5"/>
        </w:numPr>
        <w:rPr/>
      </w:pPr>
      <w:r>
        <w:rPr/>
        <w:t>vnitřním oznamovacím systémem, který škola zřídila,</w:t>
      </w:r>
    </w:p>
    <w:p>
      <w:pPr>
        <w:pStyle w:val="ListParagraph"/>
        <w:numPr>
          <w:ilvl w:val="0"/>
          <w:numId w:val="5"/>
        </w:numPr>
        <w:rPr/>
      </w:pPr>
      <w:r>
        <w:rPr/>
        <w:t>prostřednictvím Ministerstva spravedlnosti.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4. Oznámení je možné podat prostřednictvím vnitřního oznamovacího systému</w:t>
      </w:r>
    </w:p>
    <w:p>
      <w:pPr>
        <w:pStyle w:val="ListParagraph"/>
        <w:numPr>
          <w:ilvl w:val="0"/>
          <w:numId w:val="6"/>
        </w:numPr>
        <w:rPr/>
      </w:pPr>
      <w:r>
        <w:rPr/>
        <w:t>písemně, v </w:t>
      </w:r>
      <w:r>
        <w:rPr>
          <w:b/>
          <w:bCs/>
        </w:rPr>
        <w:t>listinné podobě</w:t>
      </w:r>
      <w:r>
        <w:rPr/>
        <w:t xml:space="preserve"> předat osobně příslušné osobě</w:t>
      </w:r>
    </w:p>
    <w:p>
      <w:pPr>
        <w:pStyle w:val="ListParagraph"/>
        <w:numPr>
          <w:ilvl w:val="0"/>
          <w:numId w:val="6"/>
        </w:numPr>
        <w:rPr/>
      </w:pPr>
      <w:r>
        <w:rPr/>
        <w:t>písemně prostřednictvím poštovních služeb doporučeným dopisem, nebo dopisem s doručenkou,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písemně </w:t>
      </w:r>
      <w:r>
        <w:rPr>
          <w:b/>
          <w:bCs/>
        </w:rPr>
        <w:t>elektronicky</w:t>
      </w:r>
      <w:r>
        <w:rPr/>
        <w:t xml:space="preserve"> do datové schránky: g56w95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písemně </w:t>
      </w:r>
      <w:r>
        <w:rPr>
          <w:b/>
          <w:bCs/>
        </w:rPr>
        <w:t>elektronicky</w:t>
      </w:r>
      <w:r>
        <w:rPr/>
        <w:t xml:space="preserve"> zasláním na zvlášť pro tyto účely zřízenou e-mailovou adresu, k níž má přístup pouze příslušná osoba: zsnejnamwb@seznam.cz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ústně </w:t>
      </w:r>
      <w:r>
        <w:rPr>
          <w:b/>
          <w:bCs/>
        </w:rPr>
        <w:t>osobně</w:t>
      </w:r>
      <w:r>
        <w:rPr/>
        <w:t>, pokud o to oznamovatel požádá a s příslušnou osobou si domluví místo a termín.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ústně </w:t>
      </w:r>
      <w:r>
        <w:rPr>
          <w:b/>
          <w:bCs/>
        </w:rPr>
        <w:t>telefonicky</w:t>
      </w:r>
      <w:r>
        <w:rPr/>
        <w:t>, na telefon č. 724 962 780</w:t>
      </w:r>
    </w:p>
    <w:p>
      <w:pPr>
        <w:pStyle w:val="Normal"/>
        <w:rPr/>
      </w:pPr>
      <w:r>
        <w:rPr/>
        <w:t>Při podání oznámení ústní formou má příslušná osoba povinnost pořídit zvukovou nahrávku nebo přepis ústního oznámení, ale pouze tehdy, pokud s tím oznamovatel vysloví souhlas.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Informace o možnosti podání škola uveřejňuje způsobem umožňujícím dálkový přístup.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 všech způsobů podání příslušná osoba zajistí elektronickou evidenci zákonem taxativně stanovených údajů: datum přijetí oznámení, jméno, příjmení, datum narození a kontaktní adresu oznamovatele, jsou-li tyto údaje příslušné osobě známy, shrnutí obsahu oznámení a identifikaci osoby, proti které oznámení směřovalo, je-li příslušné osobě její totožnost známa, datum ukončení posouzení důvodnosti oznámení příslušnou osobou nebo posouzení oznámení pověřeným zaměstnancem a jejich výsledek. Pokud je to možné, pro získání údajů využije formulář uvedený v příloze č. 2 této směrnice.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5. Příslušná osoba po přijetí oznámení</w:t>
      </w:r>
    </w:p>
    <w:p>
      <w:pPr>
        <w:pStyle w:val="ListParagraph"/>
        <w:numPr>
          <w:ilvl w:val="0"/>
          <w:numId w:val="4"/>
        </w:numPr>
        <w:rPr/>
      </w:pPr>
      <w:r>
        <w:rPr/>
        <w:t>dodržuje zákonem předepsaný postup a lhůty,</w:t>
      </w:r>
    </w:p>
    <w:p>
      <w:pPr>
        <w:pStyle w:val="ListParagraph"/>
        <w:numPr>
          <w:ilvl w:val="0"/>
          <w:numId w:val="4"/>
        </w:numPr>
        <w:rPr/>
      </w:pPr>
      <w:r>
        <w:rPr/>
        <w:t>při osobním převzetí oznámení je přijmout nejdéle do 14 dnů, kdy o to oznamovatel požádal,</w:t>
      </w:r>
    </w:p>
    <w:p>
      <w:pPr>
        <w:pStyle w:val="ListParagraph"/>
        <w:numPr>
          <w:ilvl w:val="0"/>
          <w:numId w:val="4"/>
        </w:numPr>
        <w:rPr/>
      </w:pPr>
      <w:r>
        <w:rPr/>
        <w:t>vyrozumí oznamovatele o přijetí oznámení do 7 dnů ode dne, kdy oznámení přijala,</w:t>
      </w:r>
    </w:p>
    <w:p>
      <w:pPr>
        <w:pStyle w:val="ListParagraph"/>
        <w:numPr>
          <w:ilvl w:val="0"/>
          <w:numId w:val="4"/>
        </w:numPr>
        <w:rPr/>
      </w:pPr>
      <w:r>
        <w:rPr/>
        <w:t>zajistí, aby oznámení obsahovala zákonem stanovené údaje,</w:t>
      </w:r>
    </w:p>
    <w:p>
      <w:pPr>
        <w:pStyle w:val="ListParagraph"/>
        <w:numPr>
          <w:ilvl w:val="0"/>
          <w:numId w:val="4"/>
        </w:numPr>
        <w:rPr/>
      </w:pPr>
      <w:r>
        <w:rPr/>
        <w:t>30 dnů posoudí důvodnost oznámení a informuje o tom oznamovatele, ve složitějších případech může tuto lhůtu prodloužit o dalších 30 dnů, nejvýše však dvakrát.</w:t>
      </w:r>
    </w:p>
    <w:p>
      <w:pPr>
        <w:pStyle w:val="ListParagraph"/>
        <w:numPr>
          <w:ilvl w:val="0"/>
          <w:numId w:val="4"/>
        </w:numPr>
        <w:rPr/>
      </w:pPr>
      <w:r>
        <w:rPr/>
        <w:t>osobní oznámení osobně musí příslušná osoba přijmout v přiměřené lhůtě, ne delší 30 dnů,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postupuje nestranně, </w:t>
      </w:r>
    </w:p>
    <w:p>
      <w:pPr>
        <w:pStyle w:val="ListParagraph"/>
        <w:numPr>
          <w:ilvl w:val="0"/>
          <w:numId w:val="4"/>
        </w:numPr>
        <w:rPr/>
      </w:pPr>
      <w:r>
        <w:rPr/>
        <w:t>zachovává mlčenlivost,</w:t>
      </w:r>
    </w:p>
    <w:p>
      <w:pPr>
        <w:pStyle w:val="ListParagraph"/>
        <w:numPr>
          <w:ilvl w:val="0"/>
          <w:numId w:val="4"/>
        </w:numPr>
        <w:rPr/>
      </w:pPr>
      <w:r>
        <w:rPr/>
        <w:t>v případě důvodného oznámení navrhuje povinnému subjektu opatření k nápravě,</w:t>
      </w:r>
    </w:p>
    <w:p>
      <w:pPr>
        <w:pStyle w:val="ListParagraph"/>
        <w:numPr>
          <w:ilvl w:val="0"/>
          <w:numId w:val="4"/>
        </w:numPr>
        <w:jc w:val="both"/>
        <w:rPr>
          <w:b/>
          <w:b/>
          <w:bCs/>
        </w:rPr>
      </w:pPr>
      <w:r>
        <w:rPr/>
        <w:t>pokud oznámení posoudí jako nedůvodné, bez zbytečného odkladu o tom vyrozumí oznamovatele, poučí jej o právu podat oznámení u orgánu veřejné moci,</w:t>
      </w:r>
    </w:p>
    <w:p>
      <w:pPr>
        <w:pStyle w:val="ListParagraph"/>
        <w:numPr>
          <w:ilvl w:val="0"/>
          <w:numId w:val="4"/>
        </w:numPr>
        <w:jc w:val="both"/>
        <w:rPr>
          <w:b/>
          <w:b/>
          <w:bCs/>
        </w:rPr>
      </w:pPr>
      <w:r>
        <w:rPr/>
        <w:t>pokud oznámení posoudí jako důvodné, navrhne povinnému subjektu opatření k nápravě protiprávního vztahu,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zajišťuje případnou komunikaci s ministerstvem spravedlnosti,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navrhuje uplatnění případných postihů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archivuje oznámení po dobu pěti let.</w:t>
      </w:r>
    </w:p>
    <w:p>
      <w:pPr>
        <w:pStyle w:val="ListParagraph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>6. Ochrana informací a totožnosti oznamovatele</w:t>
      </w:r>
    </w:p>
    <w:p>
      <w:pPr>
        <w:pStyle w:val="Normal"/>
        <w:ind w:left="360" w:hanging="0"/>
        <w:jc w:val="both"/>
        <w:rPr/>
      </w:pPr>
      <w:r>
        <w:rPr/>
        <w:t>a) Organizace technickými a organizačními prostředky zajistí, aby se s podanými oznámeními mohla seznamovat pouze příslušná osoba. Ta nesmí poskytnout žádné třetí osobě informace, které by mohly zmařit nebo ohrozit účel oznámení.</w:t>
      </w:r>
    </w:p>
    <w:p>
      <w:pPr>
        <w:pStyle w:val="Normal"/>
        <w:ind w:left="360" w:hanging="0"/>
        <w:jc w:val="both"/>
        <w:rPr/>
      </w:pPr>
      <w:r>
        <w:rPr/>
        <w:t>b) Pokud má příslušná osoba povinnost informaci o totožnosti oznamovatele poskytnout orgánům veřejné moci, souhlas oznamovatele se nevyžaduje, ten ale o tom musí být předem informován.</w:t>
      </w:r>
    </w:p>
    <w:p>
      <w:pPr>
        <w:pStyle w:val="Normal"/>
        <w:ind w:left="360" w:hanging="0"/>
        <w:jc w:val="both"/>
        <w:rPr/>
      </w:pPr>
      <w:r>
        <w:rPr/>
        <w:t>c) Zpracování osobních údajů je prováděno v souladu s platnou právní úpravou, zejména se zákonem č. 110/2019 Sb., o zpracování osobních údajů, v platném znění a pravidel GDPR. Osobní údaje nepodstatné pro zpracování konkrétního oznámení, nebudou evidovány a bez odkladu vymazány. Pokud to bude možné, tyto údaje budou anonymizovány.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7. Evidence oznámení</w:t>
      </w:r>
    </w:p>
    <w:p>
      <w:pPr>
        <w:pStyle w:val="Normal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Příslušná osoba </w:t>
      </w:r>
      <w:r>
        <w:rPr>
          <w:szCs w:val="24"/>
        </w:rPr>
        <w:t xml:space="preserve">v elektronické podobě </w:t>
      </w:r>
      <w:r>
        <w:rPr>
          <w:szCs w:val="24"/>
          <w:u w:val="single"/>
        </w:rPr>
        <w:t xml:space="preserve">vede evidenci údajů o přijatých oznámeních v rozsahu stanoveném zákonem.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8. Nepravdivá oznámení</w:t>
      </w:r>
    </w:p>
    <w:p>
      <w:pPr>
        <w:pStyle w:val="Normal"/>
        <w:ind w:left="360" w:hanging="0"/>
        <w:jc w:val="both"/>
        <w:rPr/>
      </w:pPr>
      <w:r>
        <w:rPr/>
        <w:t>Podání vědomě nepravdivého oznámení je přestupkem, který může být sankcionován pokutou do 50 000 Kč.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9. Závěrečná ustanovení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Kontrolou provádění ustanovení této směrnice je statutárním orgánem školy pověřen zaměstnanec: zástupkyně ředitelky školy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 xml:space="preserve">Směrnice nabývá platnosti dnem </w:t>
      </w:r>
      <w:r>
        <w:rPr>
          <w:iCs/>
        </w:rPr>
        <w:t>1. 8. 2023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Směrnice nabývá účinnosti dnem 1. 8. 2023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 Nejdku dne 1. 8. 2023                                             Mgr. Klaudie Mašterová</w:t>
      </w:r>
    </w:p>
    <w:p>
      <w:pPr>
        <w:pStyle w:val="Tlotextu"/>
        <w:rPr/>
      </w:pPr>
      <w:r>
        <w:rPr/>
        <w:t xml:space="preserve">                                                                                                 </w:t>
      </w:r>
      <w:r>
        <w:rPr/>
        <w:t>ředitelka školy</w:t>
      </w:r>
    </w:p>
    <w:p>
      <w:pPr>
        <w:pStyle w:val="Normal"/>
        <w:overflowPunct w:val="false"/>
        <w:textAlignment w:val="auto"/>
        <w:rPr/>
      </w:pPr>
      <w:r>
        <w:rPr/>
      </w:r>
      <w:r>
        <w:br w:type="page"/>
      </w:r>
    </w:p>
    <w:p>
      <w:pPr>
        <w:pStyle w:val="Tlotextu"/>
        <w:tabs>
          <w:tab w:val="clear" w:pos="708"/>
          <w:tab w:val="left" w:pos="2955" w:leader="none"/>
        </w:tabs>
        <w:rPr/>
      </w:pPr>
      <w:r>
        <w:rPr/>
        <w:tab/>
      </w:r>
    </w:p>
    <w:p>
      <w:pPr>
        <w:pStyle w:val="Tlotextu"/>
        <w:rPr/>
      </w:pPr>
      <w:r>
        <w:rPr/>
        <w:t>Příloha č. 1</w:t>
      </w:r>
    </w:p>
    <w:p>
      <w:pPr>
        <w:pStyle w:val="Tlotextu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Prohlášení o implementaci Směrnice EU o whistleblowingu.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V souladu se Směrnicí EU č.2019/1937 ze dne 23.10.2019 o ochraně osob, které oznamují porušení práva Unie (dále jen Směrnice EU), s platností ode dne 17.12.2021, a v souladu se zákonem č. 171/2023 Sb. o ochraně oznamovatelů,</w:t>
      </w:r>
      <w:r>
        <w:rPr>
          <w:i/>
          <w:iCs/>
          <w:color w:val="FF0000"/>
        </w:rPr>
        <w:t xml:space="preserve"> </w:t>
      </w:r>
      <w:r>
        <w:rPr/>
        <w:t xml:space="preserve">zavádí organizace jako povinný subjekt v souladu s článkem 8 Směrnice EU </w:t>
      </w:r>
      <w:r>
        <w:rPr>
          <w:b/>
          <w:bCs/>
        </w:rPr>
        <w:t>způsoby a pravidla pro oznamování protiprávního jednání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Každý oznamovatel, který se v souvislosti s prací nebo jinou obdobnou činností (Směrnice EU) dozví o porušování práv Unie, může podat oznámení písemně (elektronicky i v listinné podobě), nebo ústně – osobně (v přiměřené lhůtě) i telefonicky. 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DFDFD"/>
        <w:spacing w:before="120" w:after="165"/>
        <w:jc w:val="both"/>
        <w:rPr/>
      </w:pPr>
      <w:r>
        <w:rPr/>
        <w:t>Každá osoba (oznamovatel), která se v souvislosti s prací nebo jinou obdobnou činností dozví o porušování práv Unie a o protiprávním jednání jiných osob, je oprávněna podat oznámení písemně (elektronicky i v listinné podobě), nebo ústně – osobně (v přiměřené lhůtě) i telefonicky. Protiprávním jednáním se rozumí jednání, které má znaky trestného činu nebo přestupku, dále jednání porušující právní předpis upravující určité vymezené oblasti (např. daně z příjmů právnických osob, zadávání veřejných zakázek, hospodářská soutěž, zpracování osobních údajů, životní prostředí, ochrany spotřebitele a další zákonem taxativně vymezené oblasti.</w:t>
      </w:r>
    </w:p>
    <w:p>
      <w:pPr>
        <w:pStyle w:val="Normal"/>
        <w:rPr/>
      </w:pPr>
      <w:r>
        <w:rPr/>
        <w:t>Totožnost oznamovatele je chráněným údajem, příslušná osoba je vázána mlčenlivostí.</w:t>
      </w:r>
    </w:p>
    <w:p>
      <w:pPr>
        <w:pStyle w:val="Normal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Pro oznámení lze využít formulář (rovněž vyvěšený </w:t>
      </w:r>
      <w:r>
        <w:rPr>
          <w:shd w:fill="auto" w:val="clear"/>
        </w:rPr>
        <w:t>na webových stránkách</w:t>
      </w:r>
      <w:r>
        <w:rPr>
          <w:shd w:fill="auto" w:val="clear"/>
        </w:rPr>
        <w:t>), nebo způsob oznámení lze dohodnout s příslušnou osobou: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Tlotextu"/>
        <w:rPr/>
      </w:pPr>
      <w:r>
        <w:rPr/>
        <w:t>Kontaktní údaje příslušné osoby pro příjem a zpracování oznámení:</w:t>
      </w:r>
    </w:p>
    <w:p>
      <w:pPr>
        <w:pStyle w:val="Tlotextu"/>
        <w:rPr/>
      </w:pPr>
      <w:r>
        <w:rPr/>
        <w:t>Telefon: 724 962 780</w:t>
      </w:r>
    </w:p>
    <w:p>
      <w:pPr>
        <w:pStyle w:val="Tlotextu"/>
        <w:rPr/>
      </w:pPr>
      <w:r>
        <w:rPr/>
        <w:t>E-mail: zsnejnamwb@seznam.cz</w:t>
      </w:r>
    </w:p>
    <w:p>
      <w:pPr>
        <w:pStyle w:val="Tlotextu"/>
        <w:rPr/>
      </w:pPr>
      <w:r>
        <w:rPr/>
        <w:t>Datová schránka: g56w95</w:t>
      </w:r>
    </w:p>
    <w:p>
      <w:pPr>
        <w:pStyle w:val="Tlotextu"/>
        <w:rPr/>
      </w:pPr>
      <w:r>
        <w:rPr/>
        <w:t>Adresa:  ZŠ Nejdek, náměstí Karla IV., p.o.</w:t>
      </w:r>
    </w:p>
    <w:p>
      <w:pPr>
        <w:pStyle w:val="Tlotextu"/>
        <w:rPr/>
      </w:pPr>
      <w:r>
        <w:rPr/>
        <w:t xml:space="preserve">              </w:t>
      </w:r>
      <w:r>
        <w:rPr/>
        <w:t>určeno pouze Bc. Jarmile Henčlové</w:t>
      </w:r>
    </w:p>
    <w:p>
      <w:pPr>
        <w:pStyle w:val="Tlotextu"/>
        <w:ind w:left="708" w:hanging="0"/>
        <w:rPr/>
      </w:pPr>
      <w:r>
        <w:rPr/>
        <w:t xml:space="preserve">  </w:t>
      </w:r>
      <w:r>
        <w:rPr/>
        <w:t>náměstí Karla IV. 423</w:t>
      </w:r>
    </w:p>
    <w:p>
      <w:pPr>
        <w:pStyle w:val="Tlotextu"/>
        <w:ind w:left="708" w:hanging="0"/>
        <w:rPr/>
      </w:pPr>
      <w:r>
        <w:rPr/>
        <w:t xml:space="preserve">  </w:t>
      </w:r>
      <w:r>
        <w:rPr/>
        <w:t>362 21 Nejdek</w:t>
      </w:r>
    </w:p>
    <w:p>
      <w:pPr>
        <w:pStyle w:val="Normal"/>
        <w:overflowPunct w:val="false"/>
        <w:textAlignment w:val="auto"/>
        <w:rPr/>
      </w:pPr>
      <w:r>
        <w:rPr/>
      </w:r>
      <w:r>
        <w:br w:type="page"/>
      </w:r>
    </w:p>
    <w:p>
      <w:pPr>
        <w:pStyle w:val="Normal"/>
        <w:rPr/>
      </w:pPr>
      <w:r>
        <w:rPr/>
        <w:t>Příloha č. 2</w:t>
      </w:r>
    </w:p>
    <w:p>
      <w:pPr>
        <w:pStyle w:val="Tlotextu"/>
        <w:rPr/>
      </w:pPr>
      <w:r>
        <w:rPr/>
      </w:r>
    </w:p>
    <w:p>
      <w:pPr>
        <w:pStyle w:val="Tlotextu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Formulář pro oznamování protiprávního jednání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>Adresa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  <w:t>E-mail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  <w:t>Telefon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  <w:t>* Povinný subjekt (na koho oznámení směřuje)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  <w:t>* Vztah k povinnému subjektu (zaměstnanec, firma, obchodní partner, volený orgán,…)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  <w:t>* Text oznámení:</w:t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>* Jsem občan ČR – ano – ne *</w:t>
      </w:r>
    </w:p>
    <w:p>
      <w:pPr>
        <w:pStyle w:val="Tlotextu"/>
        <w:rPr/>
      </w:pPr>
      <w:r>
        <w:rPr/>
        <w:t>* Chci být zpětně kontaktován*</w:t>
      </w:r>
    </w:p>
    <w:p>
      <w:pPr>
        <w:pStyle w:val="Tlotextu"/>
        <w:rPr/>
      </w:pPr>
      <w:r>
        <w:rPr/>
        <w:t>* Nechci být zpětně kontaktován</w:t>
      </w:r>
    </w:p>
    <w:p>
      <w:pPr>
        <w:pStyle w:val="Tlotextu"/>
        <w:rPr/>
      </w:pPr>
      <w:r>
        <w:rPr/>
      </w:r>
    </w:p>
    <w:p>
      <w:pPr>
        <w:pStyle w:val="Tlotextu"/>
        <w:rPr>
          <w:i/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>(* - takto jsou označeny povinné údaje)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  <w:t xml:space="preserve">Kontaktní údaje příslušné osoby pro příjem a zpracování oznámení: </w:t>
      </w:r>
    </w:p>
    <w:p>
      <w:pPr>
        <w:pStyle w:val="Tlotextu"/>
        <w:rPr/>
      </w:pPr>
      <w:r>
        <w:rPr/>
        <w:t xml:space="preserve">Jméno, příjmení: </w:t>
        <w:tab/>
        <w:t xml:space="preserve">Bc Jarmila Henčlová      </w:t>
      </w:r>
    </w:p>
    <w:p>
      <w:pPr>
        <w:pStyle w:val="Tlotextu"/>
        <w:rPr/>
      </w:pPr>
      <w:r>
        <w:rPr/>
        <w:t xml:space="preserve">Telefon:    </w:t>
        <w:tab/>
        <w:tab/>
        <w:t xml:space="preserve">724 962 780                </w:t>
      </w:r>
    </w:p>
    <w:p>
      <w:pPr>
        <w:pStyle w:val="Tlotextu"/>
        <w:rPr/>
      </w:pPr>
      <w:r>
        <w:rPr/>
        <w:t>E-mail:</w:t>
        <w:tab/>
        <w:t xml:space="preserve">    </w:t>
        <w:tab/>
        <w:t>zsnejnamwb@seznam.cz</w:t>
      </w:r>
    </w:p>
    <w:p>
      <w:pPr>
        <w:pStyle w:val="Tlotextu"/>
        <w:rPr/>
      </w:pPr>
      <w:r>
        <w:rPr/>
        <w:t>Datová schránka:</w:t>
        <w:tab/>
        <w:t>g56w95</w:t>
      </w:r>
    </w:p>
    <w:p>
      <w:pPr>
        <w:pStyle w:val="Tlotextu"/>
        <w:rPr/>
      </w:pPr>
      <w:r>
        <w:rPr/>
        <w:t xml:space="preserve">Adresa:              </w:t>
        <w:tab/>
        <w:t>ZŠ Nejdek, náměstí Karla IV., p.o.</w:t>
      </w:r>
    </w:p>
    <w:p>
      <w:pPr>
        <w:pStyle w:val="Tlotextu"/>
        <w:rPr/>
      </w:pPr>
      <w:r>
        <w:rPr/>
        <w:t xml:space="preserve">                                    </w:t>
      </w:r>
      <w:r>
        <w:rPr/>
        <w:t>náměstí Karla IV. 423</w:t>
      </w:r>
    </w:p>
    <w:p>
      <w:pPr>
        <w:pStyle w:val="Tlotextu"/>
        <w:ind w:left="708" w:hanging="0"/>
        <w:rPr/>
      </w:pPr>
      <w:r>
        <w:rPr/>
        <w:t xml:space="preserve">                        </w:t>
      </w:r>
      <w:r>
        <w:rPr/>
        <w:t>362 21 Nejdek</w:t>
      </w:r>
    </w:p>
    <w:p>
      <w:pPr>
        <w:pStyle w:val="Tlotextu"/>
        <w:rPr/>
      </w:pPr>
      <w:r>
        <w:rPr/>
      </w:r>
    </w:p>
    <w:p>
      <w:pPr>
        <w:pStyle w:val="Normal"/>
        <w:rPr/>
      </w:pPr>
      <w:r>
        <w:rPr/>
        <w:t>Listinná podání označte: “Určeno pouze Bc Jarmile Henčlové”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8" w:top="1134" w:footer="708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rPr>
        <w:sz w:val="16"/>
        <w:szCs w:val="16"/>
      </w:rPr>
    </w:pPr>
    <w:r>
      <w:rPr>
        <w:sz w:val="16"/>
        <w:szCs w:val="16"/>
      </w:rPr>
      <w:t xml:space="preserve">Směrnice k ochraně oznamovatelů - whistelblowing                                                                                                           strana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7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z počtu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7</w:t>
    </w:r>
    <w:r>
      <w:rPr>
        <w:rStyle w:val="Pagenumber"/>
        <w:sz w:val="16"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szCs w:val="24"/>
      </w:rPr>
    </w:pPr>
    <w:r>
      <w:rPr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7"/>
      <w:numFmt w:val="bullet"/>
      <w:lvlText w:val="-"/>
      <w:lvlJc w:val="left"/>
      <w:pPr>
        <w:tabs>
          <w:tab w:val="num" w:pos="0"/>
        </w:tabs>
        <w:ind w:left="107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4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outlineLvl w:val="0"/>
    </w:pPr>
    <w:rPr>
      <w:b/>
    </w:rPr>
  </w:style>
  <w:style w:type="paragraph" w:styleId="Nadpis2">
    <w:name w:val="Heading 2"/>
    <w:basedOn w:val="Normal"/>
    <w:next w:val="Normal"/>
    <w:qFormat/>
    <w:pPr>
      <w:keepNext w:val="true"/>
      <w:spacing w:lineRule="atLeast" w:line="240" w:before="120" w:after="0"/>
      <w:ind w:left="3600" w:hanging="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b/>
    </w:rPr>
  </w:style>
  <w:style w:type="paragraph" w:styleId="Nadpis4">
    <w:name w:val="Heading 4"/>
    <w:basedOn w:val="Normal"/>
    <w:next w:val="Normal"/>
    <w:qFormat/>
    <w:pPr>
      <w:keepNext w:val="true"/>
      <w:jc w:val="center"/>
      <w:outlineLvl w:val="3"/>
    </w:pPr>
    <w:rPr/>
  </w:style>
  <w:style w:type="paragraph" w:styleId="Nadpis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4"/>
    </w:pPr>
    <w:rPr>
      <w:b/>
      <w:sz w:val="40"/>
    </w:rPr>
  </w:style>
  <w:style w:type="paragraph" w:styleId="Nadpis6">
    <w:name w:val="Heading 6"/>
    <w:basedOn w:val="Normal"/>
    <w:next w:val="Normal"/>
    <w:qFormat/>
    <w:pPr>
      <w:keepNext w:val="true"/>
      <w:spacing w:lineRule="atLeast" w:line="240" w:before="120" w:after="0"/>
      <w:jc w:val="both"/>
      <w:outlineLvl w:val="5"/>
    </w:pPr>
    <w:rPr>
      <w:b/>
      <w:u w:val="single"/>
    </w:rPr>
  </w:style>
  <w:style w:type="paragraph" w:styleId="Nadpis7">
    <w:name w:val="Heading 7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6"/>
    </w:pPr>
    <w:rPr>
      <w:b/>
    </w:rPr>
  </w:style>
  <w:style w:type="paragraph" w:styleId="Nadpis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lineRule="atLeast" w:line="240" w:before="120" w:after="0"/>
      <w:outlineLvl w:val="7"/>
    </w:pPr>
    <w:rPr>
      <w:b/>
    </w:rPr>
  </w:style>
  <w:style w:type="paragraph" w:styleId="Nadpis9">
    <w:name w:val="Heading 9"/>
    <w:basedOn w:val="Normal"/>
    <w:next w:val="Normal"/>
    <w:qFormat/>
    <w:pPr>
      <w:keepNext w:val="true"/>
      <w:ind w:firstLine="720"/>
      <w:jc w:val="both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textovodkaz1" w:customStyle="1">
    <w:name w:val="Hypertextový odkaz1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Fulltext1" w:customStyle="1">
    <w:name w:val="fulltext1"/>
    <w:basedOn w:val="DefaultParagraphFont"/>
    <w:qFormat/>
    <w:rPr>
      <w:rFonts w:ascii="Verdana" w:hAnsi="Verdana"/>
      <w:color w:val="000000"/>
      <w:sz w:val="18"/>
    </w:rPr>
  </w:style>
  <w:style w:type="character" w:styleId="Siln1" w:customStyle="1">
    <w:name w:val="Silné1"/>
    <w:basedOn w:val="DefaultParagraphFont"/>
    <w:qFormat/>
    <w:rPr>
      <w:b/>
    </w:rPr>
  </w:style>
  <w:style w:type="character" w:styleId="TextpoznpodarouChar" w:customStyle="1">
    <w:name w:val="Text pozn. pod čarou Char"/>
    <w:basedOn w:val="DefaultParagraphFont"/>
    <w:link w:val="Textpoznpodarou"/>
    <w:qFormat/>
    <w:rsid w:val="00a24d79"/>
    <w:rPr>
      <w:rFonts w:ascii="Calibri" w:hAnsi="Calibri" w:eastAsia="Calibri"/>
      <w:lang w:eastAsia="en-US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a24d79"/>
    <w:rPr>
      <w:vertAlign w:val="superscript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733ee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semiHidden/>
    <w:pPr/>
    <w:rPr/>
  </w:style>
  <w:style w:type="paragraph" w:styleId="Seznam">
    <w:name w:val="List"/>
    <w:basedOn w:val="Normal"/>
    <w:semiHidden/>
    <w:pPr>
      <w:ind w:left="283" w:hanging="283"/>
    </w:pPr>
    <w:rPr>
      <w:sz w:val="20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>
      <w:sz w:val="20"/>
    </w:rPr>
  </w:style>
  <w:style w:type="paragraph" w:styleId="Zkladntext21" w:customStyle="1">
    <w:name w:val="Základní text 21"/>
    <w:basedOn w:val="Normal"/>
    <w:qFormat/>
    <w:pPr>
      <w:spacing w:lineRule="atLeast" w:line="240" w:before="120" w:after="0"/>
      <w:jc w:val="both"/>
    </w:pPr>
    <w:rPr/>
  </w:style>
  <w:style w:type="paragraph" w:styleId="Paragraf" w:customStyle="1">
    <w:name w:val="Paragraf"/>
    <w:basedOn w:val="Normal"/>
    <w:qFormat/>
    <w:pPr>
      <w:keepNext w:val="true"/>
      <w:spacing w:lineRule="atLeast" w:line="240" w:before="120" w:after="0"/>
      <w:jc w:val="center"/>
    </w:pPr>
    <w:rPr>
      <w:rFonts w:ascii="Arial" w:hAnsi="Arial"/>
      <w:sz w:val="18"/>
    </w:rPr>
  </w:style>
  <w:style w:type="paragraph" w:styleId="Nzevparagrafu" w:customStyle="1">
    <w:name w:val="Název paragrafu"/>
    <w:basedOn w:val="Normal"/>
    <w:qFormat/>
    <w:pPr>
      <w:keepNext w:val="true"/>
      <w:spacing w:lineRule="atLeast" w:line="240" w:before="120" w:after="0"/>
      <w:jc w:val="center"/>
    </w:pPr>
    <w:rPr>
      <w:rFonts w:ascii="Arial" w:hAnsi="Arial"/>
      <w:b/>
      <w:sz w:val="18"/>
    </w:rPr>
  </w:style>
  <w:style w:type="paragraph" w:styleId="Psmeno" w:customStyle="1">
    <w:name w:val="Písmeno"/>
    <w:basedOn w:val="Normal"/>
    <w:qFormat/>
    <w:pPr>
      <w:keepNext w:val="true"/>
      <w:tabs>
        <w:tab w:val="clear" w:pos="708"/>
        <w:tab w:val="left" w:pos="709" w:leader="none"/>
      </w:tabs>
      <w:spacing w:lineRule="atLeast" w:line="200"/>
      <w:ind w:left="624" w:hanging="340"/>
      <w:jc w:val="both"/>
    </w:pPr>
    <w:rPr>
      <w:rFonts w:ascii="Arial" w:hAnsi="Arial"/>
      <w:sz w:val="16"/>
    </w:rPr>
  </w:style>
  <w:style w:type="paragraph" w:styleId="Eslovanodstavec" w:customStyle="1">
    <w:name w:val="Eíslovaný odstavec"/>
    <w:basedOn w:val="Normal"/>
    <w:qFormat/>
    <w:pPr>
      <w:keepNext w:val="true"/>
      <w:tabs>
        <w:tab w:val="clear" w:pos="708"/>
        <w:tab w:val="left" w:pos="425" w:leader="none"/>
      </w:tabs>
      <w:spacing w:lineRule="atLeast" w:line="200" w:before="60" w:after="0"/>
      <w:ind w:left="425" w:hanging="425"/>
      <w:jc w:val="both"/>
    </w:pPr>
    <w:rPr>
      <w:rFonts w:ascii="Arial" w:hAnsi="Arial"/>
      <w:sz w:val="16"/>
    </w:rPr>
  </w:style>
  <w:style w:type="paragraph" w:styleId="Zkladntext31" w:customStyle="1">
    <w:name w:val="Základní text 31"/>
    <w:basedOn w:val="Normal"/>
    <w:qFormat/>
    <w:pPr>
      <w:spacing w:lineRule="atLeast" w:line="240" w:before="120" w:after="0"/>
    </w:pPr>
    <w:rPr>
      <w:sz w:val="15"/>
    </w:rPr>
  </w:style>
  <w:style w:type="paragraph" w:styleId="DefinitionTerm" w:customStyle="1">
    <w:name w:val="Definition Term"/>
    <w:basedOn w:val="Normal"/>
    <w:next w:val="Normal"/>
    <w:qFormat/>
    <w:pPr>
      <w:widowControl w:val="false"/>
    </w:pPr>
    <w:rPr/>
  </w:style>
  <w:style w:type="paragraph" w:styleId="DefinitionList" w:customStyle="1">
    <w:name w:val="Definition List"/>
    <w:basedOn w:val="Normal"/>
    <w:next w:val="DefinitionTerm"/>
    <w:qFormat/>
    <w:pPr>
      <w:widowControl w:val="false"/>
      <w:ind w:left="360" w:hanging="0"/>
    </w:pPr>
    <w:rPr/>
  </w:style>
  <w:style w:type="paragraph" w:styleId="Prosttext1" w:customStyle="1">
    <w:name w:val="Prostý text1"/>
    <w:basedOn w:val="Normal"/>
    <w:qFormat/>
    <w:pPr/>
    <w:rPr>
      <w:rFonts w:ascii="Courier New" w:hAnsi="Courier New"/>
      <w:color w:val="000000"/>
      <w:sz w:val="20"/>
    </w:rPr>
  </w:style>
  <w:style w:type="paragraph" w:styleId="Zhlav">
    <w:name w:val="Head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zev">
    <w:name w:val="Title"/>
    <w:basedOn w:val="Normal"/>
    <w:qFormat/>
    <w:pPr>
      <w:jc w:val="center"/>
    </w:pPr>
    <w:rPr>
      <w:b/>
      <w:sz w:val="28"/>
      <w:u w:val="single"/>
    </w:rPr>
  </w:style>
  <w:style w:type="paragraph" w:styleId="Normlnweb1" w:customStyle="1">
    <w:name w:val="Normální (web)1"/>
    <w:basedOn w:val="Normal"/>
    <w:qFormat/>
    <w:pPr>
      <w:spacing w:before="100" w:after="100"/>
    </w:pPr>
    <w:rPr/>
  </w:style>
  <w:style w:type="paragraph" w:styleId="Normlnweb2" w:customStyle="1">
    <w:name w:val="Normální (web)2"/>
    <w:basedOn w:val="Normal"/>
    <w:qFormat/>
    <w:pPr>
      <w:spacing w:before="100" w:after="100"/>
    </w:pPr>
    <w:rPr>
      <w:rFonts w:ascii="Arial Unicode MS" w:hAnsi="Arial Unicode MS" w:eastAsia="Arial Unicode MS"/>
    </w:rPr>
  </w:style>
  <w:style w:type="paragraph" w:styleId="Zkladntextodsazen21" w:customStyle="1">
    <w:name w:val="Základní text odsazený 21"/>
    <w:basedOn w:val="Normal"/>
    <w:qFormat/>
    <w:pPr>
      <w:ind w:firstLine="709"/>
      <w:jc w:val="both"/>
    </w:pPr>
    <w:rPr>
      <w:sz w:val="22"/>
    </w:rPr>
  </w:style>
  <w:style w:type="paragraph" w:styleId="NormalWeb">
    <w:name w:val="Normal (Web)"/>
    <w:basedOn w:val="Normal"/>
    <w:qFormat/>
    <w:rsid w:val="0033465f"/>
    <w:pPr>
      <w:overflowPunct w:val="false"/>
      <w:spacing w:beforeAutospacing="1" w:afterAutospacing="1"/>
      <w:textAlignment w:val="auto"/>
    </w:pPr>
    <w:rPr>
      <w:szCs w:val="24"/>
    </w:rPr>
  </w:style>
  <w:style w:type="paragraph" w:styleId="NoSpacing">
    <w:name w:val="No Spacing"/>
    <w:uiPriority w:val="1"/>
    <w:qFormat/>
    <w:rsid w:val="003854f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eb35cb"/>
    <w:pPr>
      <w:spacing w:before="0" w:after="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nhideWhenUsed/>
    <w:rsid w:val="00a24d79"/>
    <w:pPr>
      <w:overflowPunct w:val="false"/>
      <w:textAlignment w:val="auto"/>
    </w:pPr>
    <w:rPr>
      <w:rFonts w:ascii="Calibri" w:hAnsi="Calibri" w:eastAsia="Calibri"/>
      <w:sz w:val="20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733e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LibreOffice/7.2.2.2$Windows_X86_64 LibreOffice_project/02b2acce88a210515b4a5bb2e46cbfb63fe97d56</Application>
  <AppVersion>15.0000</AppVersion>
  <Pages>7</Pages>
  <Words>1625</Words>
  <Characters>9821</Characters>
  <CharactersWithSpaces>11723</CharactersWithSpaces>
  <Paragraphs>130</Paragraphs>
  <Company>PaedDr. Jan Mikáč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Kartotéka - směrnice</cp:category>
  <dcterms:created xsi:type="dcterms:W3CDTF">2023-08-22T11:03:00Z</dcterms:created>
  <dc:creator>PaedDr. Jan Mikáč</dc:creator>
  <dc:description/>
  <dc:language>cs-CZ</dc:language>
  <cp:lastModifiedBy/>
  <cp:lastPrinted>2023-09-06T13:48:59Z</cp:lastPrinted>
  <dcterms:modified xsi:type="dcterms:W3CDTF">2023-09-06T13:54:53Z</dcterms:modified>
  <cp:revision>5</cp:revision>
  <dc:subject/>
  <dc:title>Směrnice 19 - Řád školní jídelny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